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2023 году (за отчетный 2022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2"/>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br/>
              <w:t>(за отчетный 2022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марте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2 августа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pStyle w:val="Normal"/>
        <w:tabs>
          <w:tab w:val="clear" w:pos="709"/>
          <w:tab w:val="left" w:pos="1134" w:leader="none"/>
        </w:tabs>
        <w:ind w:hanging="0"/>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Департамент кадров Правительства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tgtFrame="http://www.kremlin.ru/structure/additional/12">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tgtFrame="https://gossluzhba.gov.ru/anticorruption/spravki_bk">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1">
        <w:r>
          <w:rPr>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2" w:tgtFrame="https://mintrud.gov.ru/docs/1872">
        <w:r>
          <w:rPr>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иные доходы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2"/>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567" w:hanging="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w:t>
      </w:r>
      <w:bookmarkStart w:id="0" w:name="_GoBack"/>
      <w:bookmarkEnd w:id="0"/>
      <w:r>
        <w:rPr>
          <w:rFonts w:ascii="Times New Roman" w:hAnsi="Times New Roman"/>
          <w:sz w:val="28"/>
          <w:szCs w:val="28"/>
        </w:rPr>
        <w:t xml:space="preserve">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4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3" w:tgtFrame="https://lk.rosreestr.ru/eservices/real-estate-objects-online">
        <w:r>
          <w:rPr>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4"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5"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6"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7">
        <w:r>
          <w:rPr>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ListParagraph"/>
        <w:widowControl w:val="false"/>
        <w:ind w:left="567" w:hanging="0"/>
        <w:rPr>
          <w:rStyle w:val="Style12"/>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Уникальное условное обозначение</w:t>
      </w:r>
      <w:r>
        <w:rPr>
          <w:rStyle w:val="Style12"/>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Объем инвестиций (руб.)</w:t>
      </w:r>
      <w:r>
        <w:rPr>
          <w:rStyle w:val="Style12"/>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8">
        <w:r>
          <w:rPr>
            <w:rFonts w:ascii="Times New Roman" w:hAnsi="Times New Roman"/>
            <w:sz w:val="28"/>
            <w:szCs w:val="28"/>
          </w:rPr>
          <w:t>http://www.cbr.ru/vfs/registers/infr/list_invest_platform_op.xlsx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цифровой валюты</w:t>
      </w:r>
      <w:r>
        <w:rPr>
          <w:rStyle w:val="Style12"/>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tgtFrame="https://www.cbr.ru/hd_base/metall/metall_base_new/">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Расчетная (дебетовая)</w:t>
            </w:r>
          </w:p>
        </w:tc>
        <w:tc>
          <w:tcPr>
            <w:tcW w:w="8221"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Кредитная</w:t>
            </w:r>
          </w:p>
        </w:tc>
        <w:tc>
          <w:tcPr>
            <w:tcW w:w="8221"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tgtFrame="https://www.nalog.ru/rn77/related_activities/accounting/bank_account/">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tgtFrame="https://www.cbr.ru/banking_sector/likvidbase/">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2">
        <w:r>
          <w:rPr>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tgtFrame="https://www.cbr.ru/currency_base/daily/">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sectPr>
      <w:headerReference w:type="default" r:id="rId24"/>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PAGE </w:instrText>
    </w:r>
    <w:r>
      <w:rPr>
        <w:sz w:val="28"/>
        <w:rFonts w:eastAsia="Times New Roman" w:ascii="Times New Roman" w:hAnsi="Times New Roman"/>
      </w:rPr>
      <w:fldChar w:fldCharType="separate"/>
    </w:r>
    <w:r>
      <w:rPr>
        <w:sz w:val="28"/>
        <w:rFonts w:eastAsia="Times New Roman" w:ascii="Times New Roman" w:hAnsi="Times New Roman"/>
      </w:rPr>
      <w:t>0</w:t>
    </w:r>
    <w:r>
      <w:rPr>
        <w:sz w:val="28"/>
        <w:rFonts w:eastAsia="Times New Roman" w:ascii="Times New Roman" w:hAnsi="Times New Roman"/>
      </w:rPr>
      <w:fldChar w:fldCharType="end"/>
    </w:r>
  </w:p>
  <w:p>
    <w:pPr>
      <w:pStyle w:val="Style29"/>
      <w:rPr>
        <w:rFonts w:ascii="Times New Roman" w:hAnsi="Times New Roman" w:eastAsia="Times New Roman"/>
        <w:sz w:val="28"/>
      </w:rPr>
    </w:pPr>
    <w:r>
      <w:rPr>
        <w:rFonts w:eastAsia="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0"/>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0"/>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0"/>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0"/>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0"/>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0"/>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Pr>
      <w:rFonts w:ascii="Arial" w:hAnsi="Arial" w:eastAsia="Arial" w:cs="Arial"/>
      <w:sz w:val="40"/>
      <w:szCs w:val="40"/>
    </w:rPr>
  </w:style>
  <w:style w:type="character" w:styleId="21" w:customStyle="1">
    <w:name w:val="Заголовок 2 Знак"/>
    <w:basedOn w:val="DefaultParagraphFont"/>
    <w:link w:val="2"/>
    <w:uiPriority w:val="9"/>
    <w:qFormat/>
    <w:rPr>
      <w:rFonts w:ascii="Arial" w:hAnsi="Arial" w:eastAsia="Arial" w:cs="Arial"/>
      <w:sz w:val="34"/>
    </w:rPr>
  </w:style>
  <w:style w:type="character" w:styleId="31" w:customStyle="1">
    <w:name w:val="Заголовок 3 Знак"/>
    <w:basedOn w:val="DefaultParagraphFont"/>
    <w:link w:val="3"/>
    <w:uiPriority w:val="9"/>
    <w:qFormat/>
    <w:rPr>
      <w:rFonts w:ascii="Arial" w:hAnsi="Arial" w:eastAsia="Arial" w:cs="Arial"/>
      <w:sz w:val="30"/>
      <w:szCs w:val="30"/>
    </w:rPr>
  </w:style>
  <w:style w:type="character" w:styleId="41" w:customStyle="1">
    <w:name w:val="Заголовок 4 Знак"/>
    <w:basedOn w:val="DefaultParagraphFont"/>
    <w:link w:val="4"/>
    <w:uiPriority w:val="9"/>
    <w:qFormat/>
    <w:rPr>
      <w:rFonts w:ascii="Arial" w:hAnsi="Arial" w:eastAsia="Arial" w:cs="Arial"/>
      <w:b/>
      <w:bCs/>
      <w:sz w:val="26"/>
      <w:szCs w:val="26"/>
    </w:rPr>
  </w:style>
  <w:style w:type="character" w:styleId="51" w:customStyle="1">
    <w:name w:val="Заголовок 5 Знак"/>
    <w:basedOn w:val="DefaultParagraphFont"/>
    <w:link w:val="5"/>
    <w:uiPriority w:val="9"/>
    <w:qFormat/>
    <w:rPr>
      <w:rFonts w:ascii="Arial" w:hAnsi="Arial" w:eastAsia="Arial" w:cs="Arial"/>
      <w:b/>
      <w:bCs/>
      <w:sz w:val="24"/>
      <w:szCs w:val="24"/>
    </w:rPr>
  </w:style>
  <w:style w:type="character" w:styleId="61" w:customStyle="1">
    <w:name w:val="Заголовок 6 Знак"/>
    <w:basedOn w:val="DefaultParagraphFont"/>
    <w:link w:val="6"/>
    <w:uiPriority w:val="9"/>
    <w:qFormat/>
    <w:rPr>
      <w:rFonts w:ascii="Arial" w:hAnsi="Arial" w:eastAsia="Arial" w:cs="Arial"/>
      <w:b/>
      <w:bCs/>
      <w:sz w:val="22"/>
      <w:szCs w:val="22"/>
    </w:rPr>
  </w:style>
  <w:style w:type="character" w:styleId="71" w:customStyle="1">
    <w:name w:val="Заголовок 7 Знак"/>
    <w:basedOn w:val="DefaultParagraphFont"/>
    <w:link w:val="7"/>
    <w:uiPriority w:val="9"/>
    <w:qFormat/>
    <w:rPr>
      <w:rFonts w:ascii="Arial" w:hAnsi="Arial" w:eastAsia="Arial" w:cs="Arial"/>
      <w:b/>
      <w:bCs/>
      <w:i/>
      <w:iCs/>
      <w:sz w:val="22"/>
      <w:szCs w:val="22"/>
    </w:rPr>
  </w:style>
  <w:style w:type="character" w:styleId="81" w:customStyle="1">
    <w:name w:val="Заголовок 8 Знак"/>
    <w:basedOn w:val="DefaultParagraphFont"/>
    <w:link w:val="8"/>
    <w:uiPriority w:val="9"/>
    <w:qFormat/>
    <w:rPr>
      <w:rFonts w:ascii="Arial" w:hAnsi="Arial" w:eastAsia="Arial" w:cs="Arial"/>
      <w:i/>
      <w:iCs/>
      <w:sz w:val="22"/>
      <w:szCs w:val="22"/>
    </w:rPr>
  </w:style>
  <w:style w:type="character" w:styleId="91" w:customStyle="1">
    <w:name w:val="Заголовок 9 Знак"/>
    <w:basedOn w:val="DefaultParagraphFont"/>
    <w:link w:val="9"/>
    <w:uiPriority w:val="9"/>
    <w:qFormat/>
    <w:rPr>
      <w:rFonts w:ascii="Arial" w:hAnsi="Arial" w:eastAsia="Arial" w:cs="Arial"/>
      <w:i/>
      <w:iCs/>
      <w:sz w:val="21"/>
      <w:szCs w:val="21"/>
    </w:rPr>
  </w:style>
  <w:style w:type="character" w:styleId="Style5" w:customStyle="1">
    <w:name w:val="Название Знак"/>
    <w:basedOn w:val="DefaultParagraphFont"/>
    <w:link w:val="a4"/>
    <w:uiPriority w:val="10"/>
    <w:qFormat/>
    <w:rPr>
      <w:sz w:val="48"/>
      <w:szCs w:val="48"/>
    </w:rPr>
  </w:style>
  <w:style w:type="character" w:styleId="Style6" w:customStyle="1">
    <w:name w:val="Подзаголовок Знак"/>
    <w:basedOn w:val="DefaultParagraphFont"/>
    <w:link w:val="a6"/>
    <w:uiPriority w:val="11"/>
    <w:qFormat/>
    <w:rPr>
      <w:sz w:val="24"/>
      <w:szCs w:val="24"/>
    </w:rPr>
  </w:style>
  <w:style w:type="character" w:styleId="22" w:customStyle="1">
    <w:name w:val="Цитата 2 Знак"/>
    <w:link w:val="21"/>
    <w:uiPriority w:val="29"/>
    <w:qFormat/>
    <w:rPr>
      <w:i/>
    </w:rPr>
  </w:style>
  <w:style w:type="character" w:styleId="Style7" w:customStyle="1">
    <w:name w:val="Выделенная цитата Знак"/>
    <w:link w:val="a8"/>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link w:val="ab"/>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link w:val="af0"/>
    <w:uiPriority w:val="99"/>
    <w:qFormat/>
    <w:rPr/>
  </w:style>
  <w:style w:type="character" w:styleId="Style11" w:customStyle="1">
    <w:name w:val="Нижний колонтитул Знак"/>
    <w:basedOn w:val="DefaultParagraphFont"/>
    <w:link w:val="af2"/>
    <w:uiPriority w:val="99"/>
    <w:semiHidden/>
    <w:qFormat/>
    <w:rPr/>
  </w:style>
  <w:style w:type="character" w:styleId="Style12" w:customStyle="1">
    <w:name w:val="Основной текст Знак"/>
    <w:link w:val="af6"/>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link w:val="af9"/>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afd"/>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ff0"/>
    <w:uiPriority w:val="99"/>
    <w:qFormat/>
    <w:rPr>
      <w:sz w:val="20"/>
      <w:szCs w:val="20"/>
    </w:rPr>
  </w:style>
  <w:style w:type="character" w:styleId="Style18" w:customStyle="1">
    <w:name w:val="Тема примечания Знак"/>
    <w:link w:val="aff2"/>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f5"/>
    <w:pPr>
      <w:widowControl w:val="false"/>
      <w:shd w:val="clear" w:color="auto" w:fill="FFFFFF"/>
      <w:spacing w:lineRule="exact" w:line="298" w:before="0" w:after="780"/>
      <w:ind w:hanging="1600"/>
    </w:pPr>
    <w:rPr>
      <w:rFonts w:cs="Calibri"/>
    </w:rPr>
  </w:style>
  <w:style w:type="paragraph" w:styleId="Style22">
    <w:name w:val="List"/>
    <w:basedOn w:val="Style21"/>
    <w:pPr>
      <w:shd w:fill="FFFFFF" w:val="clear"/>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Style25">
    <w:name w:val="Title"/>
    <w:basedOn w:val="Normal"/>
    <w:next w:val="Normal"/>
    <w:link w:val="a5"/>
    <w:uiPriority w:val="10"/>
    <w:qFormat/>
    <w:pPr>
      <w:spacing w:before="300" w:after="200"/>
      <w:contextualSpacing/>
    </w:pPr>
    <w:rPr>
      <w:sz w:val="48"/>
      <w:szCs w:val="48"/>
    </w:rPr>
  </w:style>
  <w:style w:type="paragraph" w:styleId="Style26">
    <w:name w:val="Subtitle"/>
    <w:basedOn w:val="Normal"/>
    <w:next w:val="Normal"/>
    <w:link w:val="a7"/>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ac"/>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next w:val="Normal"/>
    <w:uiPriority w:val="99"/>
    <w:unhideWhenUsed/>
    <w:qFormat/>
    <w:pPr/>
    <w:rPr/>
  </w:style>
  <w:style w:type="paragraph" w:styleId="Style28">
    <w:name w:val="Верхний и нижний колонтитулы"/>
    <w:basedOn w:val="Normal"/>
    <w:qFormat/>
    <w:pPr/>
    <w:rPr/>
  </w:style>
  <w:style w:type="paragraph" w:styleId="Style29">
    <w:name w:val="Header"/>
    <w:basedOn w:val="Normal"/>
    <w:link w:val="af1"/>
    <w:uiPriority w:val="99"/>
    <w:unhideWhenUsed/>
    <w:pPr>
      <w:tabs>
        <w:tab w:val="clear" w:pos="709"/>
        <w:tab w:val="center" w:pos="4677" w:leader="none"/>
        <w:tab w:val="right" w:pos="9355" w:leader="none"/>
      </w:tabs>
    </w:pPr>
    <w:rPr/>
  </w:style>
  <w:style w:type="paragraph" w:styleId="Style30">
    <w:name w:val="Footer"/>
    <w:basedOn w:val="Normal"/>
    <w:link w:val="af3"/>
    <w:uiPriority w:val="99"/>
    <w:semiHidden/>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1">
    <w:name w:val="Footnote Text"/>
    <w:basedOn w:val="Normal"/>
    <w:link w:val="afa"/>
    <w:uiPriority w:val="99"/>
    <w:pPr/>
    <w:rPr>
      <w:rFonts w:ascii="Times New Roman" w:hAnsi="Times New Roman" w:eastAsia="Times New Roman"/>
      <w:sz w:val="20"/>
      <w:szCs w:val="20"/>
      <w:lang w:eastAsia="ru-RU"/>
    </w:rPr>
  </w:style>
  <w:style w:type="paragraph" w:styleId="14" w:customStyle="1">
    <w:name w:val="Основной текст1"/>
    <w:basedOn w:val="Normal"/>
    <w:link w:val="afc"/>
    <w:qFormat/>
    <w:pPr>
      <w:shd w:val="clear" w:color="auto" w:fill="FFFFFF"/>
      <w:spacing w:lineRule="atLeast" w:line="0" w:before="0" w:after="420"/>
      <w:ind w:hanging="420"/>
      <w:jc w:val="center"/>
    </w:pPr>
    <w:rPr>
      <w:sz w:val="28"/>
      <w:szCs w:val="28"/>
    </w:rPr>
  </w:style>
  <w:style w:type="paragraph" w:styleId="BalloonText">
    <w:name w:val="Balloon Text"/>
    <w:basedOn w:val="Normal"/>
    <w:link w:val="afe"/>
    <w:uiPriority w:val="99"/>
    <w:semiHidden/>
    <w:unhideWhenUsed/>
    <w:qFormat/>
    <w:pPr/>
    <w:rPr>
      <w:rFonts w:ascii="Tahoma" w:hAnsi="Tahoma" w:cs="Tahoma"/>
      <w:sz w:val="16"/>
      <w:szCs w:val="16"/>
    </w:rPr>
  </w:style>
  <w:style w:type="paragraph" w:styleId="Annotationtext">
    <w:name w:val="annotation text"/>
    <w:basedOn w:val="Normal"/>
    <w:link w:val="aff1"/>
    <w:uiPriority w:val="99"/>
    <w:unhideWhenUsed/>
    <w:qFormat/>
    <w:pPr/>
    <w:rPr>
      <w:sz w:val="20"/>
      <w:szCs w:val="20"/>
    </w:rPr>
  </w:style>
  <w:style w:type="paragraph" w:styleId="Annotationsubject">
    <w:name w:val="annotation subject"/>
    <w:basedOn w:val="Annotationtext"/>
    <w:next w:val="Annotationtext"/>
    <w:link w:val="aff3"/>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mintrud.gov.ru/docs/1872" TargetMode="External"/><Relationship Id="rId13" Type="http://schemas.openxmlformats.org/officeDocument/2006/relationships/hyperlink" Target="https://lk.rosreestr.ru/eservices/real-estate-objects-online" TargetMode="External"/><Relationship Id="rId14" Type="http://schemas.openxmlformats.org/officeDocument/2006/relationships/hyperlink" Target="https://www.gibdd.ru/r/77/contacts/div1145039/" TargetMode="External"/><Relationship Id="rId15" Type="http://schemas.openxmlformats.org/officeDocument/2006/relationships/hyperlink" Target="https://www.gibdd.ru/r/66/contacts/div1165058/" TargetMode="External"/><Relationship Id="rId16" Type="http://schemas.openxmlformats.org/officeDocument/2006/relationships/hyperlink" Target="https://www.gibdd.ru/r/66/contacts/div1165043/" TargetMode="External"/><Relationship Id="rId17" Type="http://schemas.openxmlformats.org/officeDocument/2006/relationships/hyperlink" Target="https://cbr.ru/vfs/registers/infr/list_OIS.xlsx" TargetMode="External"/><Relationship Id="rId18" Type="http://schemas.openxmlformats.org/officeDocument/2006/relationships/hyperlink" Target="http://www.cbr.ru/vfs/registers/infr/list_invest_platform_op.xlsx" TargetMode="External"/><Relationship Id="rId19" Type="http://schemas.openxmlformats.org/officeDocument/2006/relationships/hyperlink" Target="https://www.cbr.ru/hd_base/metall/metall_base_new/" TargetMode="External"/><Relationship Id="rId20" Type="http://schemas.openxmlformats.org/officeDocument/2006/relationships/hyperlink" Target="https://www.nalog.ru/rn77/related_activities/accounting/bank_account/" TargetMode="External"/><Relationship Id="rId21" Type="http://schemas.openxmlformats.org/officeDocument/2006/relationships/hyperlink" Target="https://www.cbr.ru/banking_sector/likvidbase/" TargetMode="External"/><Relationship Id="rId22" Type="http://schemas.openxmlformats.org/officeDocument/2006/relationships/hyperlink" Target="https://mintrud.gov.ru/ministry/programms/anticorruption/9/21" TargetMode="External"/><Relationship Id="rId23" Type="http://schemas.openxmlformats.org/officeDocument/2006/relationships/hyperlink" Target="https://www.cbr.ru/currency_base/daily/"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LibreOffice/7.1.0.3$Windows_X86_64 LibreOffice_project/f6099ecf3d29644b5008cc8f48f42f4a40986e4c</Application>
  <AppVersion>15.0000</AppVersion>
  <Pages>34</Pages>
  <Words>21564</Words>
  <Characters>151853</Characters>
  <CharactersWithSpaces>172598</CharactersWithSpaces>
  <Paragraphs>681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2022-12-30T06:49:00Z</dcterms:created>
  <dc:creator>KovalkovaEA</dc:creator>
  <dc:description/>
  <dc:language>ru-RU</dc:language>
  <cp:lastModifiedBy>123</cp:lastModifiedBy>
  <cp:lastPrinted>2022-12-30T09:43:00Z</cp:lastPrinted>
  <dcterms:modified xsi:type="dcterms:W3CDTF">2022-12-30T11:49:00Z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